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14" w:rsidRDefault="00B80114" w:rsidP="00FF0417">
      <w:pPr>
        <w:jc w:val="center"/>
        <w:rPr>
          <w:b/>
          <w:sz w:val="72"/>
          <w:szCs w:val="72"/>
        </w:rPr>
      </w:pPr>
    </w:p>
    <w:p w:rsidR="00B80114" w:rsidRDefault="00FF0417" w:rsidP="00B801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</w:t>
      </w:r>
      <w:r w:rsidR="007B351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DIRITTO</w:t>
      </w:r>
      <w:r w:rsidR="007B351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</w:t>
      </w:r>
      <w:r w:rsidR="007B351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ASILO</w:t>
      </w:r>
    </w:p>
    <w:p w:rsidR="00B80114" w:rsidRDefault="00FF0417" w:rsidP="00B801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</w:t>
      </w:r>
      <w:r w:rsidR="007B351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EUROPA</w:t>
      </w:r>
    </w:p>
    <w:p w:rsidR="00B80114" w:rsidRPr="00800267" w:rsidRDefault="00B80114" w:rsidP="00B80114">
      <w:pPr>
        <w:jc w:val="center"/>
        <w:rPr>
          <w:b/>
          <w:sz w:val="72"/>
          <w:szCs w:val="72"/>
        </w:rPr>
      </w:pPr>
    </w:p>
    <w:p w:rsidR="00B80114" w:rsidRPr="00B80114" w:rsidRDefault="00B80114" w:rsidP="00B80114">
      <w:pPr>
        <w:jc w:val="center"/>
        <w:rPr>
          <w:b/>
          <w:color w:val="FF0000"/>
          <w:sz w:val="96"/>
          <w:szCs w:val="72"/>
        </w:rPr>
      </w:pPr>
      <w:r w:rsidRPr="00B80114">
        <w:rPr>
          <w:b/>
          <w:color w:val="FF0000"/>
          <w:sz w:val="96"/>
          <w:szCs w:val="72"/>
        </w:rPr>
        <w:t>ITALIA</w:t>
      </w:r>
    </w:p>
    <w:p w:rsidR="00B80114" w:rsidRPr="00B80114" w:rsidRDefault="00B80114" w:rsidP="00B80114">
      <w:pPr>
        <w:jc w:val="center"/>
        <w:rPr>
          <w:b/>
          <w:sz w:val="72"/>
          <w:szCs w:val="72"/>
        </w:rPr>
      </w:pPr>
    </w:p>
    <w:p w:rsidR="00B80114" w:rsidRDefault="00B80114" w:rsidP="00B80114">
      <w:pPr>
        <w:jc w:val="center"/>
        <w:rPr>
          <w:b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it-IT"/>
        </w:rPr>
        <w:drawing>
          <wp:inline distT="0" distB="0" distL="0" distR="0" wp14:anchorId="38BF5593" wp14:editId="1F42BB80">
            <wp:extent cx="1872000" cy="1152000"/>
            <wp:effectExtent l="323850" t="323850" r="299720" b="29591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France_(bordered)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0114" w:rsidRDefault="00B80114" w:rsidP="00B80114">
      <w:pPr>
        <w:rPr>
          <w:b/>
          <w:sz w:val="72"/>
          <w:szCs w:val="72"/>
        </w:rPr>
      </w:pPr>
    </w:p>
    <w:p w:rsidR="00B80114" w:rsidRDefault="00B8011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FA4738" w:rsidRPr="001D1D64" w:rsidRDefault="00FA4738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D1D64">
        <w:rPr>
          <w:rFonts w:ascii="Times New Roman" w:hAnsi="Times New Roman" w:cs="Times New Roman"/>
          <w:b/>
          <w:sz w:val="40"/>
          <w:szCs w:val="28"/>
        </w:rPr>
        <w:lastRenderedPageBreak/>
        <w:t>Italia</w:t>
      </w:r>
    </w:p>
    <w:p w:rsidR="00FA4738" w:rsidRPr="007B351C" w:rsidRDefault="00FA4738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Recepimento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Direttive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UE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183086" w:rsidRDefault="007B351C" w:rsidP="007B351C">
      <w:pPr>
        <w:pStyle w:val="NormaleWeb"/>
        <w:spacing w:before="0" w:beforeAutospacing="0" w:after="0" w:afterAutospacing="0" w:line="276" w:lineRule="auto"/>
        <w:jc w:val="both"/>
      </w:pPr>
      <w:r>
        <w:t>L</w:t>
      </w:r>
      <w:r>
        <w:t>’</w:t>
      </w:r>
      <w:r>
        <w:t>Italia</w:t>
      </w:r>
      <w:r>
        <w:t xml:space="preserve"> </w:t>
      </w:r>
      <w:r>
        <w:t>ha</w:t>
      </w:r>
      <w:r>
        <w:t xml:space="preserve"> </w:t>
      </w:r>
      <w:r>
        <w:t>recepito</w:t>
      </w:r>
      <w:r>
        <w:t xml:space="preserve"> </w:t>
      </w:r>
      <w:r>
        <w:t>la</w:t>
      </w:r>
      <w:r>
        <w:t xml:space="preserve"> </w:t>
      </w:r>
      <w:r>
        <w:t>direttiva</w:t>
      </w:r>
      <w:r>
        <w:t xml:space="preserve"> </w:t>
      </w:r>
      <w:r>
        <w:t>procedure</w:t>
      </w:r>
      <w:r>
        <w:t xml:space="preserve"> </w:t>
      </w:r>
      <w:r w:rsidRPr="00183086">
        <w:t>tramite</w:t>
      </w:r>
      <w:r>
        <w:t xml:space="preserve"> </w:t>
      </w:r>
      <w:r w:rsidRPr="00183086">
        <w:t>il</w:t>
      </w:r>
      <w:r>
        <w:t xml:space="preserve"> </w:t>
      </w:r>
      <w:r>
        <w:t>D</w:t>
      </w:r>
      <w:r w:rsidRPr="00183086">
        <w:t>ecreto</w:t>
      </w:r>
      <w:r>
        <w:t xml:space="preserve"> </w:t>
      </w:r>
      <w:r w:rsidRPr="00183086">
        <w:t>legislativo</w:t>
      </w:r>
      <w:r>
        <w:t xml:space="preserve"> </w:t>
      </w:r>
      <w:r w:rsidRPr="00183086">
        <w:t>28</w:t>
      </w:r>
      <w:r>
        <w:t xml:space="preserve"> </w:t>
      </w:r>
      <w:r w:rsidRPr="00183086">
        <w:t>gennaio</w:t>
      </w:r>
      <w:r>
        <w:t xml:space="preserve"> </w:t>
      </w:r>
      <w:r w:rsidRPr="00183086">
        <w:t>2008,</w:t>
      </w:r>
      <w:r>
        <w:t xml:space="preserve"> </w:t>
      </w:r>
      <w:r w:rsidRPr="00183086">
        <w:t>n.25</w:t>
      </w:r>
      <w:r>
        <w:t xml:space="preserve"> 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2005/85/CE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norme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minime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applicate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negli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membri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riconoscimento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revoca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status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30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rifugiato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modifiche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integrazioni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2008,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n.159.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qualifiche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recepita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2007,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251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6922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5772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direttiva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accoglienza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7721B">
        <w:rPr>
          <w:rFonts w:ascii="Times New Roman" w:hAnsi="Times New Roman" w:cs="Times New Roman"/>
          <w:sz w:val="24"/>
          <w:szCs w:val="24"/>
        </w:rPr>
        <w:t>Attuazione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direttiva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2013/33/UE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recante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norme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7721B">
        <w:rPr>
          <w:rFonts w:ascii="Times New Roman" w:hAnsi="Times New Roman" w:cs="Times New Roman"/>
          <w:sz w:val="24"/>
          <w:szCs w:val="24"/>
        </w:rPr>
        <w:t>accoglienza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richiedenti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internazionale,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direttiva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2013/32/UE,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recante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comuni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fini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riconoscimento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revoca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1B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7721B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17/02/2017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13/04/2017,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riportate,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corsivo.</w:t>
      </w:r>
    </w:p>
    <w:p w:rsidR="007B351C" w:rsidRPr="0057721B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Ulteriori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riferite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immigrazione,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particolare: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25/07/1998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Immigrazione),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31/08/1999.</w:t>
      </w:r>
    </w:p>
    <w:p w:rsidR="007B351C" w:rsidRPr="0057721B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riconosciuti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Italia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avvalsa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facoltà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(scheda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rientranti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esplicitati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(scheda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D387F">
        <w:rPr>
          <w:rFonts w:ascii="Times New Roman" w:hAnsi="Times New Roman" w:cs="Times New Roman"/>
          <w:sz w:val="24"/>
          <w:szCs w:val="24"/>
        </w:rPr>
        <w:t>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7F">
        <w:rPr>
          <w:rFonts w:ascii="Times New Roman" w:hAnsi="Times New Roman" w:cs="Times New Roman"/>
          <w:sz w:val="24"/>
          <w:szCs w:val="24"/>
        </w:rPr>
        <w:t>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7F">
        <w:rPr>
          <w:rFonts w:ascii="Times New Roman" w:hAnsi="Times New Roman" w:cs="Times New Roman"/>
          <w:sz w:val="24"/>
          <w:szCs w:val="24"/>
        </w:rPr>
        <w:t>25/08,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riportati: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23998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accolga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ritenga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possano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sussistere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carattere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umanitario,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trasmette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questore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eventuale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rilascio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luglio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399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6°comma,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286/1998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ipotesi,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espressamente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ricorrano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risultanti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obblighi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costituzionali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Italiano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giustifichino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ulteriore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286/98,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espulsione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respingimento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persecuzione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cittadinanza,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rinviato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persecuzione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1bis,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respingimento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accompagnati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espulsione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respingimento,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essenzialmente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2bis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(comma1.1).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(DPR.394)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espulsione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(cfr.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394/1999).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applicazione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286/98,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30/07/2015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esemplificativo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estensive)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giustificano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esposizione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inumani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degradanti;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psicofisiche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patologie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adeguatamente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impossibilità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rimpatrio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insicurezza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calamità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rimpatrio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sicurezza;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D757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http://briguglio.asgi.it/immigrazione-e-asilo/2016/febbraio/circ-comm-naz-asilo-30-7-2015.pdf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3A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Domanda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bCs/>
          <w:sz w:val="24"/>
          <w:szCs w:val="24"/>
        </w:rPr>
        <w:t>Polizia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bCs/>
          <w:sz w:val="24"/>
          <w:szCs w:val="24"/>
        </w:rPr>
        <w:t>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bCs/>
          <w:sz w:val="24"/>
          <w:szCs w:val="24"/>
        </w:rPr>
        <w:t>frontiera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entrati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Italia,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bCs/>
          <w:sz w:val="24"/>
          <w:szCs w:val="24"/>
        </w:rPr>
        <w:t>oppure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bCs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bCs/>
          <w:sz w:val="24"/>
          <w:szCs w:val="24"/>
        </w:rPr>
        <w:t>Questura</w:t>
      </w:r>
      <w:r w:rsidRPr="00F51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presenti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4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autorità.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239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personalmente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frontiera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ingresso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questura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luogo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3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53F3"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F3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F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3F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D5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F3">
        <w:rPr>
          <w:rFonts w:ascii="Times New Roman" w:hAnsi="Times New Roman" w:cs="Times New Roman"/>
          <w:sz w:val="24"/>
          <w:szCs w:val="24"/>
        </w:rPr>
        <w:t>25/08)</w:t>
      </w:r>
      <w:r w:rsidR="0030769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239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frontiera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questura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98">
        <w:rPr>
          <w:rFonts w:ascii="Times New Roman" w:hAnsi="Times New Roman" w:cs="Times New Roman"/>
          <w:sz w:val="24"/>
          <w:szCs w:val="24"/>
        </w:rPr>
        <w:t xml:space="preserve">competenti </w:t>
      </w:r>
      <w:r w:rsidRPr="00E239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ricevere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domanda,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3998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3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co.2)</w:t>
      </w:r>
      <w:r w:rsidR="0030769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0D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sarà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verbalizzata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funzionari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utilizzando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modello,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detto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C3,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contiene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molte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carattere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anagrafico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lasciato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Paese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e/o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motivi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può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farvi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0D8">
        <w:rPr>
          <w:rFonts w:ascii="Times New Roman" w:eastAsia="Times New Roman" w:hAnsi="Times New Roman" w:cs="Times New Roman"/>
          <w:sz w:val="24"/>
          <w:szCs w:val="24"/>
          <w:lang w:eastAsia="it-IT"/>
        </w:rPr>
        <w:t>ritorno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modulo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9" w:anchor=".WDf_S30_uWj" w:history="1">
        <w:r w:rsidRPr="009253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http://www.meltingpot.org/La-procedura-per-il-riconoscimento-della-protezione.html#.WDf_S30_uWj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51C" w:rsidRPr="00665219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autorizzato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rimanere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fino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ordine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domanda.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F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3F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D5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3F3">
        <w:rPr>
          <w:rFonts w:ascii="Times New Roman" w:hAnsi="Times New Roman" w:cs="Times New Roman"/>
          <w:sz w:val="24"/>
          <w:szCs w:val="24"/>
        </w:rPr>
        <w:t>25/08)</w:t>
      </w:r>
      <w:r w:rsidR="00307698">
        <w:rPr>
          <w:rFonts w:ascii="Times New Roman" w:hAnsi="Times New Roman" w:cs="Times New Roman"/>
          <w:sz w:val="24"/>
          <w:szCs w:val="24"/>
        </w:rPr>
        <w:t>.</w:t>
      </w:r>
    </w:p>
    <w:p w:rsidR="007B351C" w:rsidRPr="004C6508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ricevuto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protezione,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rinnovabile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conclusione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asilo.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contestualmente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costituisce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08">
        <w:rPr>
          <w:rFonts w:ascii="Times New Roman" w:hAnsi="Times New Roman" w:cs="Times New Roman"/>
          <w:sz w:val="24"/>
          <w:szCs w:val="24"/>
        </w:rPr>
        <w:t>provvisorio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142/15)</w:t>
      </w:r>
      <w:r w:rsidR="0030769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Minori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non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accompagnati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accertata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accompagnato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6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abbia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espresso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56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47FB">
        <w:rPr>
          <w:rFonts w:ascii="Times New Roman" w:hAnsi="Times New Roman" w:cs="Times New Roman"/>
          <w:sz w:val="24"/>
          <w:szCs w:val="24"/>
        </w:rPr>
        <w:t>assistenza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tutore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47FB"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sussistano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dubbi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ordine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47FB">
        <w:rPr>
          <w:rFonts w:ascii="Times New Roman" w:hAnsi="Times New Roman" w:cs="Times New Roman"/>
          <w:sz w:val="24"/>
          <w:szCs w:val="24"/>
        </w:rPr>
        <w:t>età,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accompagnato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sottoposto,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previo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consenso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minore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stesso,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accertamenti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medico-sanitari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invasivi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accertarne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47FB">
        <w:rPr>
          <w:rFonts w:ascii="Times New Roman" w:hAnsi="Times New Roman" w:cs="Times New Roman"/>
          <w:sz w:val="24"/>
          <w:szCs w:val="24"/>
        </w:rPr>
        <w:t>età.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rifiuto,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minore,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sottoporsi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visita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medica,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costituisce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motivo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accoglimento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47FB">
        <w:rPr>
          <w:rFonts w:ascii="Times New Roman" w:hAnsi="Times New Roman" w:cs="Times New Roman"/>
          <w:sz w:val="24"/>
          <w:szCs w:val="24"/>
        </w:rPr>
        <w:t>adozione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B">
        <w:rPr>
          <w:rFonts w:ascii="Times New Roman" w:hAnsi="Times New Roman" w:cs="Times New Roman"/>
          <w:sz w:val="24"/>
          <w:szCs w:val="24"/>
        </w:rPr>
        <w:t>decisione.</w:t>
      </w:r>
    </w:p>
    <w:p w:rsidR="007B351C" w:rsidRPr="00120561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25/08)</w:t>
      </w:r>
      <w:r w:rsidR="00307698">
        <w:rPr>
          <w:rFonts w:ascii="Times New Roman" w:hAnsi="Times New Roman" w:cs="Times New Roman"/>
          <w:sz w:val="24"/>
          <w:szCs w:val="24"/>
        </w:rPr>
        <w:t>.</w:t>
      </w:r>
    </w:p>
    <w:p w:rsidR="007B351C" w:rsidRPr="00120561" w:rsidRDefault="007B351C" w:rsidP="007B351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1F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481F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decide</w:t>
      </w:r>
    </w:p>
    <w:p w:rsidR="00307698" w:rsidRDefault="00307698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65219">
        <w:rPr>
          <w:rFonts w:ascii="Times New Roman" w:hAnsi="Times New Roman" w:cs="Times New Roman"/>
          <w:sz w:val="24"/>
          <w:szCs w:val="24"/>
        </w:rPr>
        <w:t>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merito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Commissione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territoriale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per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riconoscimento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della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protezione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internazionale</w:t>
      </w:r>
      <w:r w:rsidRPr="00665219">
        <w:rPr>
          <w:rFonts w:ascii="Times New Roman" w:hAnsi="Times New Roman" w:cs="Times New Roman"/>
          <w:b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C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Commissioni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territoriali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nominate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Ministri,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proposta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873C0">
        <w:rPr>
          <w:rFonts w:ascii="Times New Roman" w:hAnsi="Times New Roman" w:cs="Times New Roman"/>
          <w:sz w:val="24"/>
          <w:szCs w:val="24"/>
        </w:rPr>
        <w:t>interno,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composte,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principio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equilibrio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genere,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funzionario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carriera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prefettizia,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funzioni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presidente,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funzionario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Stato,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designato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Conferenza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autonomie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locali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873C0">
        <w:rPr>
          <w:rFonts w:ascii="Times New Roman" w:hAnsi="Times New Roman" w:cs="Times New Roman"/>
          <w:sz w:val="24"/>
          <w:szCs w:val="24"/>
        </w:rPr>
        <w:t>ACNUR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C0">
        <w:rPr>
          <w:rFonts w:ascii="Times New Roman" w:hAnsi="Times New Roman" w:cs="Times New Roman"/>
          <w:sz w:val="24"/>
          <w:szCs w:val="24"/>
        </w:rPr>
        <w:t>(UNHCR).</w:t>
      </w:r>
    </w:p>
    <w:p w:rsidR="007B351C" w:rsidRPr="009F5B03" w:rsidRDefault="007B351C" w:rsidP="007B351C">
      <w:pPr>
        <w:spacing w:after="0" w:line="276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fissate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numero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massimo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dieci,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Decreto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Legge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n.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119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del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agosto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2014,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all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’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art.5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co.2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vengono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portate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5B0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venti.</w:t>
      </w:r>
    </w:p>
    <w:p w:rsidR="007B351C" w:rsidRPr="003A1E94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esplicitamente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previsto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medesimo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articolo,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Commissioni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territoriali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riconoscimento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siano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insediate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3">
        <w:rPr>
          <w:rFonts w:ascii="Times New Roman" w:hAnsi="Times New Roman" w:cs="Times New Roman"/>
          <w:sz w:val="24"/>
          <w:szCs w:val="24"/>
        </w:rPr>
        <w:t>Prefetture.</w:t>
      </w:r>
    </w:p>
    <w:p w:rsidR="007B351C" w:rsidRPr="004C2259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Permesso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soggiorno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agevolare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cooperare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preposte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singole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fasi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procedura,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fornendo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documenti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disporre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25/08)</w:t>
      </w:r>
      <w:r w:rsidR="00307698">
        <w:rPr>
          <w:rFonts w:ascii="Times New Roman" w:hAnsi="Times New Roman" w:cs="Times New Roman"/>
          <w:sz w:val="24"/>
          <w:szCs w:val="24"/>
        </w:rPr>
        <w:t>.</w:t>
      </w:r>
    </w:p>
    <w:p w:rsidR="007B351C" w:rsidRPr="005C40D1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taluni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suffragati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prove,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veritieri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decidere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C40D1">
        <w:rPr>
          <w:rFonts w:ascii="Times New Roman" w:eastAsia="Times New Roman" w:hAnsi="Times New Roman" w:cs="Times New Roman"/>
          <w:sz w:val="24"/>
          <w:szCs w:val="24"/>
          <w:lang w:eastAsia="it-IT"/>
        </w:rPr>
        <w:t>che: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351C" w:rsidRPr="00307698" w:rsidRDefault="007B351C" w:rsidP="0030769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compiuto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ragionevole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sforzo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circostanziare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domanda;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351C" w:rsidRPr="00307698" w:rsidRDefault="007B351C" w:rsidP="0030769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proofErr w:type="gram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idonea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mancanza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significativi;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351C" w:rsidRPr="00307698" w:rsidRDefault="007B351C" w:rsidP="0030769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plausibili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contraddizione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caso,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dispone;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351C" w:rsidRPr="00307698" w:rsidRDefault="007B351C" w:rsidP="0030769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meno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egli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dimostri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avuto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motivo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ritardarla;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351C" w:rsidRPr="00307698" w:rsidRDefault="007B351C" w:rsidP="0030769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proofErr w:type="gram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è,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generale,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attendibile.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251/07)</w:t>
      </w:r>
      <w:r w:rsidR="00307698" w:rsidRPr="0030769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Inammissibilità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7303D1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D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inammissibile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303D1"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riconosciuto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rifugiato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firmatario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Convenzione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Ginevra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anco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avvalersi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reiterato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identica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addurre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nuovi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elementi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merito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D1">
        <w:rPr>
          <w:rFonts w:ascii="Times New Roman" w:hAnsi="Times New Roman" w:cs="Times New Roman"/>
          <w:sz w:val="24"/>
          <w:szCs w:val="24"/>
        </w:rPr>
        <w:t>origine.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25/08)</w:t>
      </w:r>
      <w:r w:rsidR="008239C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Colloquio</w:t>
      </w:r>
    </w:p>
    <w:p w:rsidR="007B351C" w:rsidRPr="007303D1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0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provvede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colloquio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ricevimento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feriali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successivi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D2000">
        <w:rPr>
          <w:rFonts w:ascii="Times New Roman" w:hAnsi="Times New Roman" w:cs="Times New Roman"/>
          <w:sz w:val="24"/>
          <w:szCs w:val="24"/>
        </w:rPr>
        <w:t>audizione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obbligatoria,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D2000">
        <w:rPr>
          <w:rFonts w:ascii="Times New Roman" w:hAnsi="Times New Roman" w:cs="Times New Roman"/>
          <w:sz w:val="24"/>
          <w:szCs w:val="24"/>
        </w:rPr>
        <w:t>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presentarsi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convocato.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decidere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intervistare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persona,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qualora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ritenga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avere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elementi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sufficienti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concedere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00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25/08)</w:t>
      </w:r>
      <w:r w:rsidR="008239C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Decisione</w:t>
      </w:r>
    </w:p>
    <w:p w:rsidR="008239C8" w:rsidRDefault="008239C8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E33E76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7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riconoscere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una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forma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protezione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internazionale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asilo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politico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protezione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3E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sussidiaria</w:t>
      </w:r>
      <w:r w:rsidRPr="00E33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riconoscere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protezione,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rigettare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manifesta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infondatezza,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valutare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inammissibile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(qualora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esaminata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europeo),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oppure,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riconducibili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sicurezza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umanitari,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chiedere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Questura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rilascio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76"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25/08)</w:t>
      </w:r>
      <w:r w:rsidR="008239C8">
        <w:rPr>
          <w:rFonts w:ascii="Times New Roman" w:hAnsi="Times New Roman" w:cs="Times New Roman"/>
          <w:sz w:val="24"/>
          <w:szCs w:val="24"/>
        </w:rPr>
        <w:t>.</w:t>
      </w:r>
    </w:p>
    <w:p w:rsidR="007B351C" w:rsidRPr="00766FDD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Quindi,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accettata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corrispondente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status.</w:t>
      </w:r>
    </w:p>
    <w:p w:rsidR="007B351C" w:rsidRPr="00766FDD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sussidiaria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sussidiaria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quinquennale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rinnovabile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sussidiaria.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motivi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sussistendone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66FDD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251/07)</w:t>
      </w:r>
      <w:r w:rsidR="008239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F9"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esist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certo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durata: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solito,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quest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pari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nec</w:t>
      </w:r>
      <w:r>
        <w:rPr>
          <w:rFonts w:ascii="Times New Roman" w:hAnsi="Times New Roman" w:cs="Times New Roman"/>
          <w:sz w:val="24"/>
          <w:szCs w:val="24"/>
        </w:rPr>
        <w:t>essità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conse</w:t>
      </w:r>
      <w:r>
        <w:rPr>
          <w:rFonts w:ascii="Times New Roman" w:hAnsi="Times New Roman" w:cs="Times New Roman"/>
          <w:sz w:val="24"/>
          <w:szCs w:val="24"/>
        </w:rPr>
        <w:t>ntito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F9">
        <w:rPr>
          <w:rFonts w:ascii="Times New Roman" w:hAnsi="Times New Roman" w:cs="Times New Roman"/>
          <w:sz w:val="24"/>
          <w:szCs w:val="24"/>
        </w:rPr>
        <w:t>amminist</w:t>
      </w:r>
      <w:r>
        <w:rPr>
          <w:rFonts w:ascii="Times New Roman" w:hAnsi="Times New Roman" w:cs="Times New Roman"/>
          <w:sz w:val="24"/>
          <w:szCs w:val="24"/>
        </w:rPr>
        <w:t>rativa,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Occupazione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EF457B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lavorativa,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trascorsi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sessanta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esame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ritardo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può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richiedente.</w:t>
      </w:r>
    </w:p>
    <w:p w:rsidR="007B351C" w:rsidRDefault="007B351C" w:rsidP="007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può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142/15)</w:t>
      </w:r>
      <w:r w:rsidR="008239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Minniti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inserisce,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’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(d),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possibilità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prefetti,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’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impiegare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richiedenti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internazionale,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volontaria,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attività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utilità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favore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collettività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locali,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quadro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normative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vigenti.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rifugiato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sussidiaria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godere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subordinato,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albi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professionali.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rifugiato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impiego,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57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251/07).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impulso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(cd.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SPRAR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riferiti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Atlante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SPRAR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hyperlink r:id="rId10" w:history="1">
        <w:r w:rsidRPr="002D757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http://www.sprar.it/pubblicazioni/atlante-sprar-2016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239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Impugnazione</w:t>
      </w:r>
    </w:p>
    <w:p w:rsidR="007B351C" w:rsidRPr="008239C8" w:rsidRDefault="007B351C" w:rsidP="00823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impugnazione.</w:t>
      </w:r>
    </w:p>
    <w:p w:rsidR="007B351C" w:rsidRPr="00EA0204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20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testo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misure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semplificazione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A0204">
        <w:rPr>
          <w:rFonts w:ascii="Times New Roman" w:hAnsi="Times New Roman" w:cs="Times New Roman"/>
          <w:sz w:val="24"/>
          <w:szCs w:val="24"/>
        </w:rPr>
        <w:t>efficienza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giudiziari,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eliminando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4">
        <w:rPr>
          <w:rFonts w:ascii="Times New Roman" w:hAnsi="Times New Roman" w:cs="Times New Roman"/>
          <w:sz w:val="24"/>
          <w:szCs w:val="24"/>
        </w:rPr>
        <w:t>Cassazione.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F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F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F2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F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F2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F2">
        <w:rPr>
          <w:rFonts w:ascii="Times New Roman" w:hAnsi="Times New Roman" w:cs="Times New Roman"/>
          <w:sz w:val="24"/>
          <w:szCs w:val="24"/>
        </w:rPr>
        <w:t>ordinario.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26B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capoluogo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distretto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826B8">
        <w:rPr>
          <w:rFonts w:ascii="Times New Roman" w:hAnsi="Times New Roman" w:cs="Times New Roman"/>
          <w:sz w:val="24"/>
          <w:szCs w:val="24"/>
        </w:rPr>
        <w:t>appello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sede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B8">
        <w:rPr>
          <w:rFonts w:ascii="Times New Roman" w:hAnsi="Times New Roman" w:cs="Times New Roman"/>
          <w:sz w:val="24"/>
          <w:szCs w:val="24"/>
        </w:rPr>
        <w:t>Territoriale.</w:t>
      </w:r>
    </w:p>
    <w:p w:rsidR="007B351C" w:rsidRPr="008C691F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Minniti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C691F">
        <w:rPr>
          <w:rFonts w:ascii="Times New Roman" w:hAnsi="Times New Roman" w:cs="Times New Roman"/>
          <w:i/>
          <w:sz w:val="24"/>
          <w:szCs w:val="24"/>
        </w:rPr>
        <w:t>art.1,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vengono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istituite,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presso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tribunali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ordinari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luogo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quale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hanno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sede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Corti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C691F">
        <w:rPr>
          <w:rFonts w:ascii="Times New Roman" w:hAnsi="Times New Roman" w:cs="Times New Roman"/>
          <w:i/>
          <w:sz w:val="24"/>
          <w:szCs w:val="24"/>
        </w:rPr>
        <w:t>appello,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sezioni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specializzate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materia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immigrazione,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protezione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internazionale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libera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circolazione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cittadini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C691F">
        <w:rPr>
          <w:rFonts w:ascii="Times New Roman" w:hAnsi="Times New Roman" w:cs="Times New Roman"/>
          <w:i/>
          <w:sz w:val="24"/>
          <w:szCs w:val="24"/>
        </w:rPr>
        <w:t>Unione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Europea.</w:t>
      </w:r>
    </w:p>
    <w:p w:rsidR="007B351C" w:rsidRPr="008C691F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1F">
        <w:rPr>
          <w:rFonts w:ascii="Times New Roman" w:hAnsi="Times New Roman" w:cs="Times New Roman"/>
          <w:i/>
          <w:sz w:val="24"/>
          <w:szCs w:val="24"/>
        </w:rPr>
        <w:t>Queste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sezioni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competent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controversie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sotto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specificate</w:t>
      </w:r>
      <w:r w:rsidRPr="008C691F">
        <w:rPr>
          <w:rFonts w:ascii="Times New Roman" w:hAnsi="Times New Roman" w:cs="Times New Roman"/>
          <w:i/>
          <w:sz w:val="24"/>
          <w:szCs w:val="24"/>
        </w:rPr>
        <w:t>: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mancato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riconoscimento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diritto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soggiorno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territorio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nazionale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favore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cittadini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Ue;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impugnazione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provvedimento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allontanamento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confronti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cittadini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motivi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pubblica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sicurezza;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riconoscimento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protezione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internazionale;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mancato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rilascio,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rinnovo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revoca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permesso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soggiorno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motivi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umanitari;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diniego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nulla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osta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ricongiungimento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familiare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permesso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soggiorno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motivi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familiari;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accertamento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stato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apolidia;</w:t>
      </w:r>
    </w:p>
    <w:p w:rsidR="007B351C" w:rsidRPr="008239C8" w:rsidRDefault="007B351C" w:rsidP="008239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’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impugnazione</w:t>
      </w:r>
      <w:proofErr w:type="gramEnd"/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provvedimenti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commissioni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territoriali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preposte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’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esame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domande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protezione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239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internazionale.</w:t>
      </w:r>
    </w:p>
    <w:p w:rsidR="007B351C" w:rsidRPr="00E92CDF" w:rsidRDefault="008239C8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competente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territorialmente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la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sezione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specializzata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nella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cui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circoscrizione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ha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sede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l</w:t>
      </w:r>
      <w:r w:rsidR="007B351C">
        <w:rPr>
          <w:rFonts w:ascii="Times New Roman" w:hAnsi="Times New Roman" w:cs="Times New Roman"/>
          <w:i/>
          <w:sz w:val="24"/>
          <w:szCs w:val="24"/>
        </w:rPr>
        <w:t>’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autorità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che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ha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adottato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il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provvedimento</w:t>
      </w:r>
      <w:r w:rsidR="007B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51C" w:rsidRPr="008C691F">
        <w:rPr>
          <w:rFonts w:ascii="Times New Roman" w:hAnsi="Times New Roman" w:cs="Times New Roman"/>
          <w:i/>
          <w:sz w:val="24"/>
          <w:szCs w:val="24"/>
        </w:rPr>
        <w:t>impugnato</w:t>
      </w:r>
      <w:r w:rsidR="007B351C" w:rsidRPr="00E92CDF">
        <w:rPr>
          <w:rFonts w:ascii="Times New Roman" w:hAnsi="Times New Roman" w:cs="Times New Roman"/>
          <w:sz w:val="24"/>
          <w:szCs w:val="24"/>
        </w:rPr>
        <w:t>.</w:t>
      </w:r>
    </w:p>
    <w:p w:rsidR="007B351C" w:rsidRPr="00BF0283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8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ammesso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F0283">
        <w:rPr>
          <w:rFonts w:ascii="Times New Roman" w:hAnsi="Times New Roman" w:cs="Times New Roman"/>
          <w:sz w:val="24"/>
          <w:szCs w:val="24"/>
        </w:rPr>
        <w:t>interessato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abbia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richiesto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riconoscimento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Style w:val="Enfasicorsivo"/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rifugiato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abbia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ammesso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sussidiaria.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termini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previsti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giorni</w:t>
      </w:r>
      <w:r w:rsidRPr="00BF0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richiedenti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trattenuti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in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CIE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nei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CARA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tempi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sono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fissati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in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giorni.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giorni.</w:t>
      </w:r>
    </w:p>
    <w:p w:rsidR="007B351C" w:rsidRPr="00BF0283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8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dispone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rilasciato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permesso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di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soggiorno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per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richiesta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’</w:t>
      </w:r>
      <w:r w:rsidRPr="00BF028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asilo.</w:t>
      </w:r>
    </w:p>
    <w:p w:rsidR="008239C8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851CB">
        <w:rPr>
          <w:rFonts w:ascii="Times New Roman" w:hAnsi="Times New Roman" w:cs="Times New Roman"/>
          <w:sz w:val="24"/>
          <w:szCs w:val="24"/>
        </w:rPr>
        <w:t>efficacia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respinto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dichiarato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revoca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CB">
        <w:rPr>
          <w:rFonts w:ascii="Times New Roman" w:hAnsi="Times New Roman" w:cs="Times New Roman"/>
          <w:sz w:val="24"/>
          <w:szCs w:val="24"/>
        </w:rPr>
        <w:t>cessazione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status.</w:t>
      </w:r>
    </w:p>
    <w:p w:rsidR="007B351C" w:rsidRPr="00A078A7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automatica,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tuttavia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esclusa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avuto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diniego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078A7">
        <w:rPr>
          <w:rFonts w:ascii="Times New Roman" w:hAnsi="Times New Roman" w:cs="Times New Roman"/>
          <w:sz w:val="24"/>
          <w:szCs w:val="24"/>
        </w:rPr>
        <w:t>audizione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presentato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dichiarato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inammissibile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domanda,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078A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rigettato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078A7">
        <w:rPr>
          <w:rFonts w:ascii="Times New Roman" w:hAnsi="Times New Roman" w:cs="Times New Roman"/>
          <w:sz w:val="24"/>
          <w:szCs w:val="24"/>
        </w:rPr>
        <w:t>manifesta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infondatezza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inviato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perché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irregolarmente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Pr="00A078A7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comporta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automatica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impugnato,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078A7">
        <w:rPr>
          <w:rFonts w:ascii="Times New Roman" w:hAnsi="Times New Roman" w:cs="Times New Roman"/>
          <w:sz w:val="24"/>
          <w:szCs w:val="24"/>
        </w:rPr>
        <w:t>interessato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contestualmente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ricorrono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078A7"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fondati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078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giudice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provvede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ordinanza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impugnabile,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apposta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calce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fissa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A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078A7">
        <w:rPr>
          <w:rFonts w:ascii="Times New Roman" w:hAnsi="Times New Roman" w:cs="Times New Roman"/>
          <w:sz w:val="24"/>
          <w:szCs w:val="24"/>
        </w:rPr>
        <w:t>udienza.</w:t>
      </w:r>
    </w:p>
    <w:p w:rsidR="007B351C" w:rsidRPr="008C691F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F">
        <w:rPr>
          <w:rFonts w:ascii="Times New Roman" w:hAnsi="Times New Roman" w:cs="Times New Roman"/>
          <w:i/>
          <w:sz w:val="24"/>
          <w:szCs w:val="24"/>
        </w:rPr>
        <w:t>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mesi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presentazione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ricorso,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Tribunale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decide,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sulla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base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degli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elementi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esistenti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momento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decisione,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rigetta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ovvero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riconosce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ricorrente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status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rifugiato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persona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cui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accordata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protezione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sussidiaria.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reclamabile.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sospensione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degli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effetti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provvedimento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impugnato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viene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meno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anche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definitivo,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rigettato.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termine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proporre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cassazione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giorni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decorre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comunicazione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cura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cancelleria,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effettuarsi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anche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confronti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parte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costituita.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rigetto,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Corte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cassazione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decide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sull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C691F">
        <w:rPr>
          <w:rFonts w:ascii="Times New Roman" w:hAnsi="Times New Roman" w:cs="Times New Roman"/>
          <w:i/>
          <w:sz w:val="24"/>
          <w:szCs w:val="24"/>
        </w:rPr>
        <w:t>impugnazione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mesi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deposito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ricorso.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Quando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sussistono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fondati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motivi,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giudice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ha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pronunciato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impugnato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può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disporre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sospensione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degli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effetti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predetto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conseguente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ripristino,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sospensione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rigetto,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sospensione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C691F">
        <w:rPr>
          <w:rFonts w:ascii="Times New Roman" w:hAnsi="Times New Roman" w:cs="Times New Roman"/>
          <w:i/>
          <w:sz w:val="24"/>
          <w:szCs w:val="24"/>
        </w:rPr>
        <w:t>efficacia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esecutiva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decisione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Commissione.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sospensione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cui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periodo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precedente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disposta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istanza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parte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depositarsi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giorni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proposizione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ricorso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cassazione.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controparte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può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depositare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una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propria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nota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difensiva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giorni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dalla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comunicazione,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cura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cancelleria,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C691F">
        <w:rPr>
          <w:rFonts w:ascii="Times New Roman" w:hAnsi="Times New Roman" w:cs="Times New Roman"/>
          <w:i/>
          <w:sz w:val="24"/>
          <w:szCs w:val="24"/>
        </w:rPr>
        <w:t>istanza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sospensione.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giudice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decide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successivi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giorni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con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i/>
          <w:sz w:val="24"/>
          <w:szCs w:val="24"/>
        </w:rPr>
        <w:t>impugnabile.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confermato,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decorrere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</w:t>
      </w:r>
      <w:r w:rsidRPr="0046325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Cassazione</w:t>
      </w:r>
      <w:r w:rsidRPr="004632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pena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ecadenza</w:t>
      </w:r>
      <w:r w:rsidRPr="00463250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50">
        <w:rPr>
          <w:rFonts w:ascii="Times New Roman" w:hAnsi="Times New Roman" w:cs="Times New Roman"/>
          <w:sz w:val="24"/>
          <w:szCs w:val="24"/>
        </w:rPr>
        <w:t>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controinteressati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assieme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fissazione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63250">
        <w:rPr>
          <w:rFonts w:ascii="Times New Roman" w:hAnsi="Times New Roman" w:cs="Times New Roman"/>
          <w:sz w:val="24"/>
          <w:szCs w:val="24"/>
        </w:rPr>
        <w:t>udienza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camera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consiglio.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 w:rsidRPr="00463250"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50">
        <w:rPr>
          <w:rFonts w:ascii="Times New Roman" w:hAnsi="Times New Roman" w:cs="Times New Roman"/>
          <w:sz w:val="24"/>
          <w:szCs w:val="24"/>
        </w:rPr>
        <w:t>25/08)</w:t>
      </w:r>
      <w:r w:rsidR="008239C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Principali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orientamenti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della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giurisprudenza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Protezione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umanitaria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sussistono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gravi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umanitario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ampia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giustizia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esprimere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Alcuni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esempi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C8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Tribu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Trieste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D20A8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umanitaria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coppia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coniugi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fuga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Iran.</w:t>
      </w:r>
    </w:p>
    <w:p w:rsidR="007B351C" w:rsidRPr="00D20A8E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denunciato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grave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Iran,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confermate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internazionali.</w:t>
      </w:r>
    </w:p>
    <w:p w:rsidR="007B351C" w:rsidRPr="00D20A8E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umanitaria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Giudice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risalto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alfabetizzazione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richiedenti;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coesione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nucleo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poco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figlio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mancanza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prospettive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Iran.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Giudice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enunciarlo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motivi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umanitario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trovare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umani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imposta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specie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solidarietà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A8E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sociale.</w:t>
      </w:r>
    </w:p>
    <w:p w:rsidR="007B351C" w:rsidRPr="000F436B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hyperlink r:id="rId11" w:anchor=".WD_WYn0_uWh" w:history="1">
        <w:r w:rsidRPr="003014E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http://www.meltingpot.org/Protezione-umanitaria-nuove-prospettive.html?838550278#.WD_WYn0_uWh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Civile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Trieste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pronunciato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qua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</w:t>
      </w:r>
      <w:r w:rsidRPr="004F7F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F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ottener</w:t>
      </w:r>
      <w:r w:rsidRPr="004F7F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F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umanitari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nazionalità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pakistana,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virtù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F7FF5">
        <w:rPr>
          <w:rFonts w:ascii="Times New Roman" w:hAnsi="Times New Roman" w:cs="Times New Roman"/>
          <w:sz w:val="24"/>
          <w:szCs w:val="24"/>
        </w:rPr>
        <w:t>mancanza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risorse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esistenziali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F7FF5">
        <w:rPr>
          <w:rFonts w:ascii="Times New Roman" w:hAnsi="Times New Roman" w:cs="Times New Roman"/>
          <w:sz w:val="24"/>
          <w:szCs w:val="24"/>
        </w:rPr>
        <w:t>orig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3014E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http://www.meltingpot.org/IMG/pdf/umanitaria_pakistan.pdf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ordinanza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1°Sezione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cittadino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gravissima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affligge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Gambia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  <w:t>Quest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orientamento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giurisprudenziale,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costituiscono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esempi,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ampliare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dismisura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7F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umanitaria</w:t>
      </w:r>
      <w:r w:rsidRPr="004F7FF5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2D757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http://www.asgi.it/wp-content/uploads/2016/06/2016_Tribunale_Milano_31_3_Gambia.pdf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Lecce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cittadino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Ghana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trattamenti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inumani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degradanti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subiti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Libia.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br/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Giudice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valutato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ricorrente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arrestato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Libia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condizione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straniero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irregolare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drammaticità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viaggio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fino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Italia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dovuto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sostenere.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Questi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concretizzano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vulnerabilità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diritto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44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nitario.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3014E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http://www.meltingpot.org/IMG/pdf/tribunale_di_lecce_ordinanza_12161_del_19_10_2016_libia.pdf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B351C" w:rsidRPr="0014344E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Pr="00481F3A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rifugiato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Catania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ha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riconosciuto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lo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status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rifugiato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ad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un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cittadino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maliano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che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aveva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lasciato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Paese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poiché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ribelli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erano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villaggio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avevano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costretto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arruolarsi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fila</w:t>
      </w:r>
      <w:r>
        <w:rPr>
          <w:rFonts w:ascii="Arial" w:eastAsia="Times New Roman" w:hAnsi="Arial" w:cs="Arial"/>
          <w:sz w:val="30"/>
          <w:szCs w:val="30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considera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ndo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credibile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versione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dei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fatti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riferita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dal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ricorrente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in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quanto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160A">
        <w:rPr>
          <w:rStyle w:val="Enfasicorsivo"/>
          <w:rFonts w:ascii="Times New Roman" w:hAnsi="Times New Roman" w:cs="Times New Roman"/>
          <w:i w:val="0"/>
          <w:sz w:val="24"/>
          <w:szCs w:val="24"/>
        </w:rPr>
        <w:t>r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iscontata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siti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60A">
        <w:rPr>
          <w:rFonts w:ascii="Times New Roman" w:eastAsia="Times New Roman" w:hAnsi="Times New Roman" w:cs="Times New Roman"/>
          <w:sz w:val="24"/>
          <w:szCs w:val="24"/>
          <w:lang w:eastAsia="it-IT"/>
        </w:rPr>
        <w:t>più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da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report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internazionali.</w:t>
      </w:r>
    </w:p>
    <w:p w:rsidR="007B351C" w:rsidRPr="007C6147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Il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Giudice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ha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ritenuto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situazione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attuale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del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Mali,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in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particolare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nella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regione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Gao,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altamente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rischio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per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il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ricorrente,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avvalsa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dalla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dichiarazione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6147">
        <w:rPr>
          <w:rFonts w:ascii="Times New Roman" w:eastAsia="Times New Roman" w:hAnsi="Times New Roman" w:cs="Times New Roman"/>
          <w:sz w:val="24"/>
          <w:szCs w:val="24"/>
          <w:lang w:eastAsia="it-IT"/>
        </w:rPr>
        <w:t>2016.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8D6C1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http://www.asgi.it/wp-content/uploads/2016/11/Ordinanza-Tribunale-di-Catania-22.06.2016.pdf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B351C" w:rsidRPr="003C1F74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3A">
        <w:rPr>
          <w:rFonts w:ascii="Times New Roman" w:hAnsi="Times New Roman" w:cs="Times New Roman"/>
          <w:b/>
          <w:sz w:val="24"/>
          <w:szCs w:val="24"/>
        </w:rPr>
        <w:t>Regolamento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3A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DE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3999/2016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Stato,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amministrativa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italiana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annullato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trasferimento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ric</w:t>
      </w:r>
      <w:r>
        <w:rPr>
          <w:rFonts w:ascii="Times New Roman" w:hAnsi="Times New Roman" w:cs="Times New Roman"/>
          <w:sz w:val="24"/>
          <w:szCs w:val="24"/>
        </w:rPr>
        <w:t>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DE">
        <w:rPr>
          <w:rFonts w:ascii="Times New Roman" w:hAnsi="Times New Roman" w:cs="Times New Roman"/>
          <w:sz w:val="24"/>
          <w:szCs w:val="24"/>
        </w:rPr>
        <w:t>Bulgaria.</w:t>
      </w:r>
    </w:p>
    <w:p w:rsidR="007B351C" w:rsidRPr="00B21F96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infatti,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aveva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istanza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volta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quest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ultimo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Paese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conseguentemente,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altra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aveva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chiesto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Bulgaria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ripresa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competenza.</w:t>
      </w:r>
    </w:p>
    <w:p w:rsidR="007B351C" w:rsidRPr="00B21F96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lamentava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carenze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Bulgaria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1F96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inosservanza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informativi.</w:t>
      </w:r>
    </w:p>
    <w:p w:rsidR="007B351C" w:rsidRPr="00B85E1A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T.A.R.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espingeva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ricorso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ECRI,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Bulgaria,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reperibile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Europa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Europa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citato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emersa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evoluzione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Bulgaria,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inumani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degradanti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5E1A"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 w:rsidR="008239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Pr="00A266D2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Fonts w:ascii="Times New Roman" w:hAnsi="Times New Roman" w:cs="Times New Roman"/>
          <w:sz w:val="24"/>
          <w:szCs w:val="24"/>
        </w:rPr>
        <w:t>ritiene,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>gazioni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ricorrente,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sia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fondato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il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rischio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attuale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che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lo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straniero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richiedente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asilo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venga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sottoposto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a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trattamenti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inumani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e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degradanti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in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Bulgaria,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cosicché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deve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ritenersi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impossibile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il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trasferimento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del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ricorrente</w:t>
      </w:r>
      <w:r>
        <w:rPr>
          <w:rStyle w:val="Enfasicorsivo"/>
          <w:rFonts w:ascii="Times New Roman" w:hAnsi="Times New Roman" w:cs="Times New Roman"/>
          <w:sz w:val="24"/>
          <w:szCs w:val="24"/>
        </w:rPr>
        <w:t>”</w:t>
      </w:r>
      <w:r w:rsidRPr="006B1919">
        <w:rPr>
          <w:rStyle w:val="Enfasicorsivo"/>
          <w:rFonts w:ascii="Times New Roman" w:hAnsi="Times New Roman" w:cs="Times New Roman"/>
          <w:sz w:val="24"/>
          <w:szCs w:val="24"/>
        </w:rPr>
        <w:t>.</w:t>
      </w:r>
    </w:p>
    <w:p w:rsidR="007B351C" w:rsidRPr="006B1919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circostanze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notorie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sono,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Stato,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sufficienti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far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ritenere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fondato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provvedimento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impugnato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esponga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ricorrente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possibilità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subire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trattamenti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contrasto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umanitari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’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Carta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diritti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fondamentali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’</w:t>
      </w:r>
      <w:r w:rsidRPr="006B19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U.E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”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Pr="006B1919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fondamentale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volta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Bulgaria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Paese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membro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sicuro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annulla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B1919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trasferimento.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554B7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http://www.asgi.it/wp-content/uploads/2016/09/Dublino-Bulgaria.pdf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239C8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Ungheria.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Infatti,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4004/2016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annullato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trasferimento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Ungheria.</w:t>
      </w:r>
    </w:p>
    <w:p w:rsidR="007B351C" w:rsidRPr="00D8169E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9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accolto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presentato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Direzione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Centrale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servizi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civili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69E">
        <w:rPr>
          <w:rFonts w:ascii="Times New Roman" w:hAnsi="Times New Roman" w:cs="Times New Roman"/>
          <w:sz w:val="24"/>
          <w:szCs w:val="24"/>
        </w:rPr>
        <w:t>Immigrazione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69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Unità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deciso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trasferimento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Ungheria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avanzato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istanza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quel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conseguentemente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69E">
        <w:rPr>
          <w:rFonts w:ascii="Times New Roman" w:hAnsi="Times New Roman" w:cs="Times New Roman"/>
          <w:sz w:val="24"/>
          <w:szCs w:val="24"/>
        </w:rPr>
        <w:t>Italia,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destinataria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altra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successiva,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chiesto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69E">
        <w:rPr>
          <w:rFonts w:ascii="Times New Roman" w:hAnsi="Times New Roman" w:cs="Times New Roman"/>
          <w:sz w:val="24"/>
          <w:szCs w:val="24"/>
        </w:rPr>
        <w:t>Ungheria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ripresa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69E">
        <w:rPr>
          <w:rFonts w:ascii="Times New Roman" w:hAnsi="Times New Roman" w:cs="Times New Roman"/>
          <w:sz w:val="24"/>
          <w:szCs w:val="24"/>
        </w:rPr>
        <w:t>interessato,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604/2013,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richiesta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accolta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destinatario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riconosciuto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9E">
        <w:rPr>
          <w:rFonts w:ascii="Times New Roman" w:hAnsi="Times New Roman" w:cs="Times New Roman"/>
          <w:sz w:val="24"/>
          <w:szCs w:val="24"/>
        </w:rPr>
        <w:t>competenza.</w:t>
      </w:r>
    </w:p>
    <w:p w:rsidR="007B351C" w:rsidRPr="009B7339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lamentava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carenze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Ungheria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ed,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inosservanza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Affermazioni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onti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più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recenti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razzismo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intolleranza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(ECRI),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basata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sentenza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impugnata.</w:t>
      </w:r>
    </w:p>
    <w:p w:rsidR="007B351C" w:rsidRPr="009B7339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33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recenti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modifiche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Parlamento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ungherese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approvato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luglio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B7339">
        <w:rPr>
          <w:rFonts w:ascii="Times New Roman" w:hAnsi="Times New Roman" w:cs="Times New Roman"/>
          <w:sz w:val="24"/>
          <w:szCs w:val="24"/>
        </w:rPr>
        <w:t>immigrazione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confronti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levate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voci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critiche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accuse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razzismo,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icordando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realizzazione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un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“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muro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anti-immigrati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”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(una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barriera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munita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filo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spinato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che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terrà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profughi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migranti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alla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larga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dal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Paese)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che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ben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rappresenta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il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clima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culturale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politico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avversione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al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fenomeno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dell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’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immigrazione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della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richiesta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protezione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dei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7339">
        <w:rPr>
          <w:rStyle w:val="Enfasicorsivo"/>
          <w:rFonts w:ascii="Times New Roman" w:hAnsi="Times New Roman" w:cs="Times New Roman"/>
          <w:i w:val="0"/>
          <w:sz w:val="24"/>
          <w:szCs w:val="24"/>
        </w:rPr>
        <w:t>rifugiati</w:t>
      </w:r>
      <w:r w:rsidRPr="009B7339"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condannati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UNHCR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Amnesty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contrasto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B73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principi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morali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minimi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umanitari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9B73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9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linea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Ungheria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339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portato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41FD5">
        <w:rPr>
          <w:rFonts w:ascii="Times New Roman" w:hAnsi="Times New Roman" w:cs="Times New Roman"/>
          <w:sz w:val="24"/>
          <w:szCs w:val="24"/>
        </w:rPr>
        <w:t>Ungheria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lettera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costituzione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inizio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procedimento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infrazione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riguardante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legislazione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ungherese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recentemente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adottata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</w:t>
      </w:r>
      <w:r w:rsidRPr="00F41FD5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rilevate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incompatibilità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legislazione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ungherese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41FD5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Pr="00F41FD5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fondato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impugnato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esponga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subire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umanitari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Carta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1FD5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fondamentali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U.E,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annullato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impugnato.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6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tratta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fondamentale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importanza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perché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Italia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Tribunale,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allineandosi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alcune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Olanda)</w:t>
      </w:r>
      <w:r w:rsidRPr="00C95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95D65">
        <w:rPr>
          <w:rFonts w:ascii="Times New Roman" w:hAnsi="Times New Roman" w:cs="Times New Roman"/>
          <w:sz w:val="24"/>
          <w:szCs w:val="24"/>
        </w:rPr>
        <w:t>Ungheria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membro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sicuro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annulla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65">
        <w:rPr>
          <w:rFonts w:ascii="Times New Roman" w:hAnsi="Times New Roman" w:cs="Times New Roman"/>
          <w:sz w:val="24"/>
          <w:szCs w:val="24"/>
        </w:rPr>
        <w:t>trasferimento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1C" w:rsidRDefault="007B351C" w:rsidP="007B3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554B7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http://www.asgi.it/wp-content/uploads/2016/09/Ungheria-Paese-non-sicuro.pdf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239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51C" w:rsidRPr="002F17C0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Minniti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rimpatrio</w:t>
      </w:r>
    </w:p>
    <w:p w:rsidR="007B351C" w:rsidRDefault="007B351C" w:rsidP="007B3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51C" w:rsidRPr="00E23998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E23998">
        <w:rPr>
          <w:rFonts w:ascii="Times New Roman" w:hAnsi="Times New Roman" w:cs="Times New Roman"/>
          <w:i/>
          <w:sz w:val="24"/>
          <w:szCs w:val="24"/>
        </w:rPr>
        <w:t>art.19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998">
        <w:rPr>
          <w:rFonts w:ascii="Times New Roman" w:hAnsi="Times New Roman" w:cs="Times New Roman"/>
          <w:i/>
          <w:sz w:val="24"/>
          <w:szCs w:val="24"/>
        </w:rPr>
        <w:t>Minniti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dispone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denominazione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E23998">
        <w:rPr>
          <w:rFonts w:ascii="Times New Roman" w:hAnsi="Times New Roman" w:cs="Times New Roman"/>
          <w:i/>
          <w:sz w:val="24"/>
          <w:szCs w:val="24"/>
        </w:rPr>
        <w:t>Centro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identificazione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espulsione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E23998">
        <w:rPr>
          <w:rFonts w:ascii="Times New Roman" w:hAnsi="Times New Roman" w:cs="Times New Roman"/>
          <w:i/>
          <w:sz w:val="24"/>
          <w:szCs w:val="24"/>
        </w:rPr>
        <w:t>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sostituita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quella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E23998">
        <w:rPr>
          <w:rFonts w:ascii="Times New Roman" w:hAnsi="Times New Roman" w:cs="Times New Roman"/>
          <w:i/>
          <w:sz w:val="24"/>
          <w:szCs w:val="24"/>
        </w:rPr>
        <w:t>Centro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permanenza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rimpatrio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E23998">
        <w:rPr>
          <w:rFonts w:ascii="Times New Roman" w:hAnsi="Times New Roman" w:cs="Times New Roman"/>
          <w:i/>
          <w:sz w:val="24"/>
          <w:szCs w:val="24"/>
        </w:rPr>
        <w:t>(o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CPR).</w:t>
      </w:r>
    </w:p>
    <w:p w:rsidR="007B351C" w:rsidRPr="00E23998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98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già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citato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articolo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prevede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altresì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tali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strutture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vengano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trattenuti,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previa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decisione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E23998">
        <w:rPr>
          <w:rFonts w:ascii="Times New Roman" w:hAnsi="Times New Roman" w:cs="Times New Roman"/>
          <w:i/>
          <w:sz w:val="24"/>
          <w:szCs w:val="24"/>
        </w:rPr>
        <w:t>autorità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giudiziaria,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gli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stranieri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già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destinatari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un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provvedimento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espulsione,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qualora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possibile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effettuare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rimpatrio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cause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forza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maggiore.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98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rete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nuove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strutture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dovrà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essere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ampliata,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modo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assicurarne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distribuzione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sull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E23998">
        <w:rPr>
          <w:rFonts w:ascii="Times New Roman" w:hAnsi="Times New Roman" w:cs="Times New Roman"/>
          <w:i/>
          <w:sz w:val="24"/>
          <w:szCs w:val="24"/>
        </w:rPr>
        <w:t>intero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territorio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nazionale.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nuovi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CPR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saranno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allestiti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siti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nelle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aree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esterne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centri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urbani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risultino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più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facilmente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raggiungibili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quali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siano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presenti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strutture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proprietà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pubblica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possano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essere,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anche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mediante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interventi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adeguamento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ristrutturazione,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idonei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allo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scopo,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tenendo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conto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necessità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realizzare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strutture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capienza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limitata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idonee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garantire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condizioni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trattenimento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assicurino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E23998">
        <w:rPr>
          <w:rFonts w:ascii="Times New Roman" w:hAnsi="Times New Roman" w:cs="Times New Roman"/>
          <w:i/>
          <w:sz w:val="24"/>
          <w:szCs w:val="24"/>
        </w:rPr>
        <w:t>assoluto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rispetto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dignità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persona.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Garante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diritti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persone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detenute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private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della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libertà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personale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vengono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riconosciuti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tutti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poteri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verifica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98">
        <w:rPr>
          <w:rFonts w:ascii="Times New Roman" w:hAnsi="Times New Roman" w:cs="Times New Roman"/>
          <w:i/>
          <w:sz w:val="24"/>
          <w:szCs w:val="24"/>
        </w:rPr>
        <w:t>accesso.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1F">
        <w:rPr>
          <w:rFonts w:ascii="Times New Roman" w:hAnsi="Times New Roman" w:cs="Times New Roman"/>
          <w:b/>
          <w:sz w:val="24"/>
          <w:szCs w:val="24"/>
        </w:rPr>
        <w:t>Dati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91F">
        <w:rPr>
          <w:rFonts w:ascii="Times New Roman" w:hAnsi="Times New Roman" w:cs="Times New Roman"/>
          <w:b/>
          <w:sz w:val="24"/>
          <w:szCs w:val="24"/>
        </w:rPr>
        <w:t>statistici</w:t>
      </w: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inerenti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ripartizione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reperibili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link:</w:t>
      </w:r>
    </w:p>
    <w:p w:rsidR="00F73EB7" w:rsidRPr="007B351C" w:rsidRDefault="007B351C" w:rsidP="007B351C">
      <w:pPr>
        <w:autoSpaceDE w:val="0"/>
        <w:autoSpaceDN w:val="0"/>
        <w:adjustRightInd w:val="0"/>
        <w:spacing w:after="0" w:line="276" w:lineRule="auto"/>
        <w:jc w:val="both"/>
      </w:pPr>
      <w:hyperlink r:id="rId18" w:history="1">
        <w:r w:rsidRPr="00B36FC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http://www.libertaciviliimmigrazione.dlci.interno.gov.it/it/documentazione/statistica/i-numeri-dellasilo</w:t>
        </w:r>
      </w:hyperlink>
      <w:r w:rsidR="001D1D64">
        <w:rPr>
          <w:rFonts w:ascii="Times New Roman" w:hAnsi="Times New Roman" w:cs="Times New Roman"/>
          <w:sz w:val="24"/>
          <w:szCs w:val="24"/>
        </w:rPr>
        <w:t>.</w:t>
      </w:r>
    </w:p>
    <w:sectPr w:rsidR="00F73EB7" w:rsidRPr="007B351C" w:rsidSect="006D113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FA" w:rsidRDefault="00FE2BFA" w:rsidP="00851511">
      <w:pPr>
        <w:spacing w:after="0" w:line="240" w:lineRule="auto"/>
      </w:pPr>
      <w:r>
        <w:separator/>
      </w:r>
    </w:p>
  </w:endnote>
  <w:endnote w:type="continuationSeparator" w:id="0">
    <w:p w:rsidR="00FE2BFA" w:rsidRDefault="00FE2BFA" w:rsidP="008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5C" w:rsidRDefault="00FF08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5C" w:rsidRDefault="00FF08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5C" w:rsidRDefault="00FF08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FA" w:rsidRDefault="00FE2BFA" w:rsidP="00851511">
      <w:pPr>
        <w:spacing w:after="0" w:line="240" w:lineRule="auto"/>
      </w:pPr>
      <w:r>
        <w:separator/>
      </w:r>
    </w:p>
  </w:footnote>
  <w:footnote w:type="continuationSeparator" w:id="0">
    <w:p w:rsidR="00FE2BFA" w:rsidRDefault="00FE2BFA" w:rsidP="008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5C" w:rsidRDefault="00FF08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5C" w:rsidRDefault="00FF085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5C" w:rsidRDefault="00FF08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F75"/>
    <w:multiLevelType w:val="hybridMultilevel"/>
    <w:tmpl w:val="0374F7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A06"/>
    <w:multiLevelType w:val="hybridMultilevel"/>
    <w:tmpl w:val="913078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386C"/>
    <w:multiLevelType w:val="hybridMultilevel"/>
    <w:tmpl w:val="B2784CA0"/>
    <w:lvl w:ilvl="0" w:tplc="35603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C6E"/>
    <w:multiLevelType w:val="hybridMultilevel"/>
    <w:tmpl w:val="B0E0FFA2"/>
    <w:lvl w:ilvl="0" w:tplc="0F3E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3AF5"/>
    <w:multiLevelType w:val="hybridMultilevel"/>
    <w:tmpl w:val="FD30C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B6E75"/>
    <w:multiLevelType w:val="hybridMultilevel"/>
    <w:tmpl w:val="B53AFCE2"/>
    <w:lvl w:ilvl="0" w:tplc="02D87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6F2C"/>
    <w:rsid w:val="000024CF"/>
    <w:rsid w:val="00056C1A"/>
    <w:rsid w:val="00060D19"/>
    <w:rsid w:val="00071468"/>
    <w:rsid w:val="000851CB"/>
    <w:rsid w:val="000C4ACD"/>
    <w:rsid w:val="000F436B"/>
    <w:rsid w:val="00120561"/>
    <w:rsid w:val="0012423A"/>
    <w:rsid w:val="00125CEC"/>
    <w:rsid w:val="0014344E"/>
    <w:rsid w:val="00183086"/>
    <w:rsid w:val="001D1D64"/>
    <w:rsid w:val="001D3C33"/>
    <w:rsid w:val="002340D3"/>
    <w:rsid w:val="00245EE5"/>
    <w:rsid w:val="0024695B"/>
    <w:rsid w:val="002A430A"/>
    <w:rsid w:val="002B0223"/>
    <w:rsid w:val="002C25B2"/>
    <w:rsid w:val="002D53F3"/>
    <w:rsid w:val="002F17C0"/>
    <w:rsid w:val="002F7459"/>
    <w:rsid w:val="00307698"/>
    <w:rsid w:val="00343470"/>
    <w:rsid w:val="003628F6"/>
    <w:rsid w:val="00390302"/>
    <w:rsid w:val="003A1E94"/>
    <w:rsid w:val="003C72C3"/>
    <w:rsid w:val="003E14D2"/>
    <w:rsid w:val="00412250"/>
    <w:rsid w:val="0046167D"/>
    <w:rsid w:val="00463250"/>
    <w:rsid w:val="00467BF2"/>
    <w:rsid w:val="00477EB6"/>
    <w:rsid w:val="00481173"/>
    <w:rsid w:val="00481F3A"/>
    <w:rsid w:val="00484D49"/>
    <w:rsid w:val="00494742"/>
    <w:rsid w:val="004A17A9"/>
    <w:rsid w:val="004C2259"/>
    <w:rsid w:val="004C6508"/>
    <w:rsid w:val="004F7AFF"/>
    <w:rsid w:val="004F7FF5"/>
    <w:rsid w:val="00515CBD"/>
    <w:rsid w:val="00522343"/>
    <w:rsid w:val="00540ADB"/>
    <w:rsid w:val="00566569"/>
    <w:rsid w:val="0057721B"/>
    <w:rsid w:val="00580FC2"/>
    <w:rsid w:val="00594AF9"/>
    <w:rsid w:val="00597C43"/>
    <w:rsid w:val="005A6F2C"/>
    <w:rsid w:val="005A7E3A"/>
    <w:rsid w:val="005C40D1"/>
    <w:rsid w:val="005D387F"/>
    <w:rsid w:val="00626922"/>
    <w:rsid w:val="00665219"/>
    <w:rsid w:val="006869E8"/>
    <w:rsid w:val="00694248"/>
    <w:rsid w:val="006947B3"/>
    <w:rsid w:val="006B1919"/>
    <w:rsid w:val="006D113F"/>
    <w:rsid w:val="006F48A4"/>
    <w:rsid w:val="007303D1"/>
    <w:rsid w:val="00733C60"/>
    <w:rsid w:val="0074107A"/>
    <w:rsid w:val="0074319C"/>
    <w:rsid w:val="00766FDD"/>
    <w:rsid w:val="007A2831"/>
    <w:rsid w:val="007B351C"/>
    <w:rsid w:val="007C0FDE"/>
    <w:rsid w:val="007C4A50"/>
    <w:rsid w:val="007C6147"/>
    <w:rsid w:val="007E1118"/>
    <w:rsid w:val="007E34A2"/>
    <w:rsid w:val="00811423"/>
    <w:rsid w:val="008239C8"/>
    <w:rsid w:val="00831539"/>
    <w:rsid w:val="00834BFB"/>
    <w:rsid w:val="008352FD"/>
    <w:rsid w:val="0084160A"/>
    <w:rsid w:val="00851511"/>
    <w:rsid w:val="00854AB0"/>
    <w:rsid w:val="008843EB"/>
    <w:rsid w:val="00895623"/>
    <w:rsid w:val="008C2C9E"/>
    <w:rsid w:val="008C691F"/>
    <w:rsid w:val="008E4D50"/>
    <w:rsid w:val="0090348E"/>
    <w:rsid w:val="00912CF5"/>
    <w:rsid w:val="009160D8"/>
    <w:rsid w:val="00971ACC"/>
    <w:rsid w:val="0097507F"/>
    <w:rsid w:val="00983187"/>
    <w:rsid w:val="009840E9"/>
    <w:rsid w:val="00993D70"/>
    <w:rsid w:val="009B7339"/>
    <w:rsid w:val="009E541D"/>
    <w:rsid w:val="009F5B03"/>
    <w:rsid w:val="00A0432E"/>
    <w:rsid w:val="00A078A7"/>
    <w:rsid w:val="00A2280C"/>
    <w:rsid w:val="00A245EF"/>
    <w:rsid w:val="00A266D2"/>
    <w:rsid w:val="00A469C0"/>
    <w:rsid w:val="00A75E54"/>
    <w:rsid w:val="00AA08C8"/>
    <w:rsid w:val="00AA2098"/>
    <w:rsid w:val="00AA31CD"/>
    <w:rsid w:val="00AC37B4"/>
    <w:rsid w:val="00AD2000"/>
    <w:rsid w:val="00AD34EF"/>
    <w:rsid w:val="00AF0D5F"/>
    <w:rsid w:val="00AF1A8E"/>
    <w:rsid w:val="00B21F96"/>
    <w:rsid w:val="00B47DB9"/>
    <w:rsid w:val="00B80114"/>
    <w:rsid w:val="00B83B33"/>
    <w:rsid w:val="00B85E1A"/>
    <w:rsid w:val="00BA3033"/>
    <w:rsid w:val="00BC1958"/>
    <w:rsid w:val="00BC65A9"/>
    <w:rsid w:val="00BD47FB"/>
    <w:rsid w:val="00BE0C27"/>
    <w:rsid w:val="00BE48C4"/>
    <w:rsid w:val="00BE70BD"/>
    <w:rsid w:val="00BF0283"/>
    <w:rsid w:val="00C2059E"/>
    <w:rsid w:val="00C26C7A"/>
    <w:rsid w:val="00C37DAB"/>
    <w:rsid w:val="00C80968"/>
    <w:rsid w:val="00C95D65"/>
    <w:rsid w:val="00D20A8E"/>
    <w:rsid w:val="00D469EA"/>
    <w:rsid w:val="00D608E3"/>
    <w:rsid w:val="00D655D5"/>
    <w:rsid w:val="00D7446F"/>
    <w:rsid w:val="00D800D0"/>
    <w:rsid w:val="00D8169E"/>
    <w:rsid w:val="00D87CDB"/>
    <w:rsid w:val="00D96A63"/>
    <w:rsid w:val="00DC652D"/>
    <w:rsid w:val="00E05C4E"/>
    <w:rsid w:val="00E23998"/>
    <w:rsid w:val="00E33E76"/>
    <w:rsid w:val="00E40632"/>
    <w:rsid w:val="00E826B8"/>
    <w:rsid w:val="00E92CDF"/>
    <w:rsid w:val="00EA0204"/>
    <w:rsid w:val="00EE1D7A"/>
    <w:rsid w:val="00EF457B"/>
    <w:rsid w:val="00F41FD5"/>
    <w:rsid w:val="00F51F54"/>
    <w:rsid w:val="00F73EB7"/>
    <w:rsid w:val="00F858C3"/>
    <w:rsid w:val="00F873C0"/>
    <w:rsid w:val="00FA4738"/>
    <w:rsid w:val="00FD0177"/>
    <w:rsid w:val="00FE2BFA"/>
    <w:rsid w:val="00FF0417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7CC5-2349-4211-B6B0-412061FD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F2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83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830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3086"/>
    <w:rPr>
      <w:i/>
      <w:iCs/>
    </w:rPr>
  </w:style>
  <w:style w:type="paragraph" w:styleId="Paragrafoelenco">
    <w:name w:val="List Paragraph"/>
    <w:basedOn w:val="Normale"/>
    <w:uiPriority w:val="34"/>
    <w:qFormat/>
    <w:rsid w:val="002D53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0D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6521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248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1511"/>
  </w:style>
  <w:style w:type="paragraph" w:styleId="Pidipagina">
    <w:name w:val="footer"/>
    <w:basedOn w:val="Normale"/>
    <w:link w:val="PidipaginaCarattere"/>
    <w:uiPriority w:val="99"/>
    <w:semiHidden/>
    <w:unhideWhenUsed/>
    <w:rsid w:val="008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guglio.asgi.it/immigrazione-e-asilo/2016/febbraio/circ-comm-naz-asilo-30-7-2015.pdf" TargetMode="External"/><Relationship Id="rId13" Type="http://schemas.openxmlformats.org/officeDocument/2006/relationships/hyperlink" Target="http://www.asgi.it/wp-content/uploads/2016/06/2016_Tribunale_Milano_31_3_Gambia.pdf" TargetMode="External"/><Relationship Id="rId18" Type="http://schemas.openxmlformats.org/officeDocument/2006/relationships/hyperlink" Target="http://www.libertaciviliimmigrazione.dlci.interno.gov.it/it/documentazione/statistica/i-numeri-dellasil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meltingpot.org/IMG/pdf/umanitaria_pakistan.pdf" TargetMode="External"/><Relationship Id="rId17" Type="http://schemas.openxmlformats.org/officeDocument/2006/relationships/hyperlink" Target="http://www.asgi.it/wp-content/uploads/2016/09/Ungheria-Paese-non-sicuro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gi.it/wp-content/uploads/2016/09/Dublino-Bulgaria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ltingpot.org/Protezione-umanitaria-nuove-prospettive.html?838550278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asgi.it/wp-content/uploads/2016/11/Ordinanza-Tribunale-di-Catania-22.06.2016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prar.it/pubblicazioni/atlante-sprar-201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ltingpot.org/La-procedura-per-il-riconoscimento-della-protezione.html" TargetMode="External"/><Relationship Id="rId14" Type="http://schemas.openxmlformats.org/officeDocument/2006/relationships/hyperlink" Target="http://www.meltingpot.org/IMG/pdf/tribunale_di_lecce_ordinanza_12161_del_19_10_2016_libia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10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68</cp:revision>
  <cp:lastPrinted>2017-07-12T10:40:00Z</cp:lastPrinted>
  <dcterms:created xsi:type="dcterms:W3CDTF">2016-11-23T09:15:00Z</dcterms:created>
  <dcterms:modified xsi:type="dcterms:W3CDTF">2017-08-30T10:28:00Z</dcterms:modified>
</cp:coreProperties>
</file>